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88R3197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to property owners of the adoption or amendment of certain restrictive covenants.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202, Property Code, is amended by adding Section 202.0045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202.0045.</w:t>
      </w:r>
      <w:r>
        <w:rPr>
          <w:u w:val="single"/>
        </w:rPr>
        <w:t xml:space="preserve"> </w:t>
      </w:r>
      <w:r>
        <w:rPr>
          <w:u w:val="single"/>
        </w:rPr>
        <w:t xml:space="preserve"> </w:t>
      </w:r>
      <w:r>
        <w:rPr>
          <w:u w:val="single"/>
        </w:rPr>
        <w:t xml:space="preserve">NOTICE OF NEW OR AMENDED RESTRICTIVE COVENANT; CERTIFICATE OF COMPLIANCE. </w:t>
      </w:r>
      <w:r>
        <w:rPr>
          <w:u w:val="single"/>
        </w:rPr>
        <w:t xml:space="preserve"> </w:t>
      </w:r>
      <w:r>
        <w:rPr>
          <w:u w:val="single"/>
        </w:rPr>
        <w:t xml:space="preserve">(a) </w:t>
      </w:r>
      <w:r>
        <w:rPr>
          <w:u w:val="single"/>
        </w:rPr>
        <w:t xml:space="preserve"> </w:t>
      </w:r>
      <w:r>
        <w:rPr>
          <w:u w:val="single"/>
        </w:rPr>
        <w:t xml:space="preserve">A property owners' association may not enforce a newly adopted restrictive covenant or an amendment to a restrictive covenant before the 60th day after the date the association gives notice of the adoption or amendment directed to all persons who then are record owners of property in the residential subdivision, planned unit development, condominium or townhouse regime, or similar planned development. </w:t>
      </w:r>
      <w:r>
        <w:rPr>
          <w:u w:val="single"/>
        </w:rPr>
        <w:t xml:space="preserve"> </w:t>
      </w:r>
      <w:r>
        <w:rPr>
          <w:u w:val="single"/>
        </w:rPr>
        <w:t xml:space="preserve">The notice must contain</w:t>
      </w:r>
      <w:r>
        <w:rPr>
          <w:u w:val="single"/>
        </w:rPr>
        <w:t xml:space="preserve"> </w:t>
      </w:r>
      <w:r>
        <w:rPr>
          <w:u w:val="single"/>
        </w:rPr>
        <w:t xml:space="preserve">the name of the subdivision, regime, or development covered by the restrictive covenant and a copy of the dedicatory instrument containing the restrictive covenant as it will be filed under Section 202.006.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notice required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published once a week for two consecutive weeks in a newspaper of general circulation in the county or counties where the subdivision, regime, or development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by certified mail, return receipt requested, to each person who owns land in the subdivision, regime, or development as of the date the notice is given, excluding the owners of land dedicated for public use or for use by utilities.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property owners' association acts in good faith in determining ownership and giving notice as required by this section, the failure to give personal notice to an owner does not affect the enforceability of the restrictive covenant as to that owner or the owner's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Instead of providing a copy of the dedicatory instrument as it will be filed under Section 202.006 as required by Subsection (a), a notice published as required by Subsection (b)(1) may contain a general description of the purpose and effect of the newly adopted restrictive covenant or the amendment to the restrictive covenant,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compliance with the notice requirements of this section, a majority of the members of the governing body of the property owners' association shall execute a certificate of compliance and file the certificate with the county clerk of each county where the subdivision, regime, or development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county clerk of each county shall record the certificate in the real property records of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209.0042(b), Property Code, is amended to read as follows:</w:t>
      </w:r>
    </w:p>
    <w:p w:rsidR="003F3435" w:rsidRDefault="0032493E">
      <w:pPr>
        <w:spacing w:line="480" w:lineRule="auto"/>
        <w:ind w:firstLine="720"/>
        <w:jc w:val="both"/>
      </w:pPr>
      <w:r>
        <w:t xml:space="preserve">(b)</w:t>
      </w:r>
      <w:r xml:space="preserve">
        <w:t> </w:t>
      </w:r>
      <w:r xml:space="preserve">
        <w:t> </w:t>
      </w:r>
      <w:r>
        <w:t xml:space="preserve">A property owners' association may use an alternative method of providing notice adopted under this section to provide a notice for which another method is prescribed by law</w:t>
      </w:r>
      <w:r>
        <w:rPr>
          <w:u w:val="single"/>
        </w:rPr>
        <w:t xml:space="preserve">, other than a notice required by Section 202.0045,</w:t>
      </w:r>
      <w:r>
        <w:t xml:space="preserve"> only if the property owner to whom the notice is provided has affirmatively opted to allow the association to use the alternative method of providing notice to provide to the owner notices for which another method is prescribed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202.0045, Property Code, as added by this Act, applies only to a restrictive covenant adopted or amended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