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88R9487 KSD-F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Schaefer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1794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The University of Texas at Tyler to receive formula funding for the university's school of pharmacy.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76.026(c),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board shall provide for the operations and capital expenses of the school to be supported by tuition, gifts, grants, and other institutional or system funds available for that purpose</w:t>
      </w:r>
      <w:r>
        <w:rPr>
          <w:u w:val="single"/>
        </w:rPr>
        <w:t xml:space="preserve">. This subsection does not affect the eligibility of the school</w:t>
      </w:r>
      <w:r>
        <w:t xml:space="preserve">[</w:t>
      </w:r>
      <w:r>
        <w:rPr>
          <w:strike/>
        </w:rPr>
        <w:t xml:space="preserve">, except that the school is not eligible</w:t>
      </w:r>
      <w:r>
        <w:t xml:space="preserve">] for funding under the formulas established under Section 61.059 for instruction, operations, </w:t>
      </w:r>
      <w:r>
        <w:rPr>
          <w:u w:val="single"/>
        </w:rPr>
        <w:t xml:space="preserve">and</w:t>
      </w:r>
      <w:r>
        <w:t xml:space="preserve"> [</w:t>
      </w:r>
      <w:r>
        <w:rPr>
          <w:strike/>
        </w:rPr>
        <w:t xml:space="preserve">or</w:t>
      </w:r>
      <w:r>
        <w:t xml:space="preserve">] infrastructure.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