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88R3998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1795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reimbursement under Medicaid of local educational agencies for the provision of health care services to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32.0271.</w:t>
      </w:r>
      <w:r>
        <w:rPr>
          <w:u w:val="single"/>
        </w:rPr>
        <w:t xml:space="preserve"> </w:t>
      </w:r>
      <w:r>
        <w:rPr>
          <w:u w:val="single"/>
        </w:rPr>
        <w:t xml:space="preserve"> </w:t>
      </w:r>
      <w:r>
        <w:rPr>
          <w:u w:val="single"/>
        </w:rPr>
        <w:t xml:space="preserve">REIMBURSEMENT FOR CERTAIN SERVICES PROVIDED TO MEDICAID-ELIGIBLE STUDENTS BY LOCAL EDUCATIONAL AGENCIES.  (a) In this section, "local educational agency" includes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that Medicaid reimbursement is provided to a local educational agency for all health care services covered under Medicaid, including behavioral health services, that are provided to students eligible for Medicaid through the agency by a health professional,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agency is an authorized health care provider under Medicaid;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parent or legal guardian of the student provides consent before the service is provided.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permitted by federal law, the commission shall ensure a local educational agency receives Medicaid reimbursement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regardless of whether: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there is any charge for the service to the student as a Medicaid recipient or to the community at large;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service is included in a student's individualized education plan or individualized family service plan;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health professional providing the service is the recipient's primary care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is based on the random moment time study methodology.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local educational agency may only use the proceeds of Medicaid reimbursements received under this section to continue to fund the provision of health care services by the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Health and Human Services Commission shall seek an amendment to the state Medicaid plan or other appropriate authorization from the Centers for Medicare and Medicaid Services or other appropriate federal agency necessary to implement Section 32.0271, Human Resources Code, as added by this Act, and may delay implementing that section until the amendment or other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