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88R24873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Stucky, Klick</w:t>
      </w:r>
      <w:r xml:space="preserve">
        <w:tab wTab="150" tlc="none" cTlc="0"/>
      </w:r>
      <w:r>
        <w:t xml:space="preserve">H.B.</w:t>
      </w:r>
      <w:r xml:space="preserve">
        <w:t> </w:t>
      </w:r>
      <w:r>
        <w:t xml:space="preserve">No.</w:t>
      </w:r>
      <w:r xml:space="preserve">
        <w:t> </w:t>
      </w:r>
      <w:r>
        <w:t xml:space="preserve">1798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1798:</w:t>
      </w: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C.S.H.B.</w:t>
      </w:r>
      <w:r xml:space="preserve">
        <w:t> </w:t>
      </w:r>
      <w:r>
        <w:t xml:space="preserve">No.</w:t>
      </w:r>
      <w:r xml:space="preserve">
        <w:t> </w:t>
      </w:r>
      <w:r>
        <w:t xml:space="preserve">1798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strategic plan for home and community-based services provided under Medicaid and the child health plan program and the establishment of an advisory committee on home and community-based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T to read as follows:</w:t>
      </w:r>
    </w:p>
    <w:p w:rsidR="003F3435" w:rsidRDefault="0032493E">
      <w:pPr>
        <w:spacing w:line="480" w:lineRule="auto"/>
        <w:jc w:val="center"/>
      </w:pPr>
      <w:r>
        <w:rPr>
          <w:u w:val="single"/>
        </w:rPr>
        <w:t xml:space="preserve">SUBCHAPTER T.  HOME AND COMMUNITY-BASED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 and community-based services" means person-centered care that addresses the needs of an individual with functional limitations who needs assistance with daily living, is delivered to the individual in the individual's home or community, and enables the individual to remain in the individual's home or community,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acute care and long-term services and supports;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services and supports for an individual's physical, emotional, mental, social,  and vocational needs;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services necessary to enable an individual to remain in the individual's home or community.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"Home and community support services agency" means a person licensed under Chapter 142, Health and Safety Code, who provides for pay or other consideration home health, hospice, or personal assistance services as those terms are defined by Section 142.001, Health and Safety Code, in a client's residence, an independent living environment, or another appropriate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531.802.</w:t>
      </w:r>
      <w:r>
        <w:rPr>
          <w:u w:val="single"/>
        </w:rPr>
        <w:t xml:space="preserve"> </w:t>
      </w:r>
      <w:r>
        <w:rPr>
          <w:u w:val="single"/>
        </w:rPr>
        <w:t xml:space="preserve"> </w:t>
      </w:r>
      <w:r>
        <w:rPr>
          <w:u w:val="single"/>
        </w:rPr>
        <w:t xml:space="preserve">STRATEGIC PLAN; REPORT.  (a)  The commission shall develop and, subject to Subsection (c), implement a strategic plan to ensure that Medicaid recipients and child health plan program enrollees in this state have access to home and community-based services provided by a home and community support services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proposal for developing a viable rate methodology for each home and community-based service provided by a home and community support services agency that will ensure access to the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the unmet needs for home and community-based services of Medicaid recipients and child health plan program enrollees;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 to care standards for services provided by a home and community support services agency specific to each home and community-based services program under Medicaid and the child health plan program, which may include standards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delivered units of service as a percentage of authorized units of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in-network home and community support services agencies;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types of services provided;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geographic areas served;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vacancy rates;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capacity to provide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of the potential costs, including costs to the state, associated with the lack of adequate access to home and community-based services in this state, including an analysis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projected long-term savings from providing timely access to home and community-based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costs associated with providing services in an institutional or hospital setting, as compared to providing services in a home or community-based setting;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potential immediate and long-term costs associated with a lack of access to services in a timely manner;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set dates for achieving the goals identified in the strategic plan.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January 1, 2024, the commission shall submit the strategic plan developed under Subsection (b) to the Legislative Budget Board for approval.  The board must review and provide the commission with comments on the plan before determining whether to approve the plan.  This subsection expires 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implement the proposal described by Subsection (b)(1) until the Legislative Budget Board approves the strategic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November 1 of each even-numbered year, the commission shall submit a report on the commission's development and implementation of the strategic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Legislative Budget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531.803.</w:t>
      </w:r>
      <w:r>
        <w:rPr>
          <w:u w:val="single"/>
        </w:rPr>
        <w:t xml:space="preserve"> </w:t>
      </w:r>
      <w:r>
        <w:rPr>
          <w:u w:val="single"/>
        </w:rPr>
        <w:t xml:space="preserve"> </w:t>
      </w:r>
      <w:r>
        <w:rPr>
          <w:u w:val="single"/>
        </w:rPr>
        <w:t xml:space="preserve">ADVISORY COMMITTEE.  (a)  In this section, "advisory committee" means the home and community-based services advisory committee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the home and community-based services advisory committee as an advisory committee or a subcommittee of the medical care advisory committee established under Section 32.022, Human Resources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developing a viable long-term payment methodology for services provided by home and community support services agencies;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addressing issues relating to home and community-based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sustainable strategy to support home and community-based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for cost savings in program areas,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integrity;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reductions in hospitalizations;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prior authorization of services;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care coordination efforts;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and offer comments on the strategic plan described by Section 531.802.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is composed of the following members appointed by the executive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who is an ex officio nonvoting representative of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odd number, not to exceed 15, of voting members who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representatives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one association representing managed care organizations;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one association representing home and community support services agencies;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at least two associations or coalitions representing Medicaid recipients who receive home and community-based services in this state;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at least one rural home and community support services agency providing services to Medicaid recipients who receive home and community-based services;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at least one statewide home and community support services agency providing services to Medicaid recipients who receive home and community-based services;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another discipline involving expertise in financing Medicaid home and community-based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person who is the parent of and caregiver to a child who receives home and community-based services as a Medicaid recipient or child health plan program enrollee;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one person who is a recipient of home and community-based services under Medicaid;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at least one person who provides financial management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at least one person who provides electronic visit verification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advisory committee serves without compensation.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is abolished and 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appoint the members of the home and community-based services advisory committee established under Subchapter T, Chapter 531,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