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88R7414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w:t>
      </w:r>
      <w:r xml:space="preserve">
        <w:tab wTab="150" tlc="none" cTlc="0"/>
      </w:r>
      <w:r>
        <w:t xml:space="preserve">H.B.</w:t>
      </w:r>
      <w:r xml:space="preserve">
        <w:t> </w:t>
      </w:r>
      <w:r>
        <w:t xml:space="preserve">No.</w:t>
      </w:r>
      <w:r xml:space="preserve">
        <w:t> </w:t>
      </w:r>
      <w:r>
        <w:t xml:space="preserve">1799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property owners' association to regulate the street parking of certain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202, Property Code, is amended by adding Section 202.008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202.008.</w:t>
      </w:r>
      <w:r>
        <w:rPr>
          <w:u w:val="single"/>
        </w:rPr>
        <w:t xml:space="preserve"> </w:t>
      </w:r>
      <w:r>
        <w:rPr>
          <w:u w:val="single"/>
        </w:rPr>
        <w:t xml:space="preserve"> </w:t>
      </w:r>
      <w:r>
        <w:rPr>
          <w:u w:val="single"/>
        </w:rPr>
        <w:t xml:space="preserve">CERTAIN PARKING RESTRICTIONS PROHIBITED.  A property owners' association may not adopt or enforce a provision in a dedicatory instrument to the extent the provision would have the effect of prohibiting a property owner or resident from parking on a street adjacent to the owner's or resident's dwelling a vehicle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owned by this state, an agency or political subdivision of this state, or the United States;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operated by a property owner or resident in the regular course of the property owner's or resident's employment;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required by the property owner's or resident's employer to be parked in the immediate vicinity of the property owner's or resident's dwelling when the property owner or resident is at that location.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