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1801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real property used to operate a child-care facility.</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CHILD-CARE FACILITIES. </w:t>
      </w:r>
      <w:r>
        <w:rPr>
          <w:u w:val="single"/>
        </w:rPr>
        <w:t xml:space="preserve"> </w:t>
      </w:r>
      <w:r>
        <w:rPr>
          <w:u w:val="single"/>
        </w:rPr>
        <w:t xml:space="preserve">(a) </w:t>
      </w:r>
      <w:r>
        <w:rPr>
          <w:u w:val="single"/>
        </w:rPr>
        <w:t xml:space="preserve"> </w:t>
      </w:r>
      <w:r>
        <w:rPr>
          <w:u w:val="single"/>
        </w:rPr>
        <w:t xml:space="preserve">In this section, "child-care facility" has the meaning assigned by Section 42.002,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the real property the person owns and operates as a child-care facility that qualifies as provided by Subsection (d)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(c), the property is used exclusively to provide developmental and educational services for children attending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is reasonably necessary for the  operation of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use of exempt property for functions other than providing developmental and educational services for children attending the child-care facility located on the property does not result in the loss of an exemption authorized by this section if those other functions are incidental to the use of the property for providing those services to those children and benefit: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those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staff and faculty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qualify as a child-care facility for purposes of this section, an entity, whether operated by an individual, as a corporation, or as an association, must be accredited by a nationally recognized accrediting organization for child-care or early childhood education facilities or programs approved by the Texas Workforce Commission and the Department of Family and Protective Services as applying criteria for accreditation adequate to ensure the quality of an accredited facility or program, such as the National Association for the Education of Young Children or the National Early Childhood Program Accreditation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Property is not ineligible for an exemption under this section if a portion of the property is used for functions other than those described by Subsections (b) and (c). </w:t>
      </w:r>
      <w:r>
        <w:rPr>
          <w:u w:val="single"/>
        </w:rPr>
        <w:t xml:space="preserve"> </w:t>
      </w:r>
      <w:r>
        <w:rPr>
          <w:u w:val="single"/>
        </w:rPr>
        <w:t xml:space="preserve">However, the exemption does not apply to the value of the portion of the property that is used for those other functions.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w:t>
      </w:r>
      <w:r>
        <w:t xml:space="preserve">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real property used to operate a child-care facility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