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88R10882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1803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1803:</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1803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1652, Insurance Code, is amended by adding Section 1652.059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w:t>
      </w:r>
      <w:r>
        <w:rPr>
          <w:u w:val="single"/>
        </w:rPr>
        <w:t xml:space="preserve"> </w:t>
      </w:r>
      <w:r>
        <w:rPr>
          <w:u w:val="single"/>
        </w:rPr>
        <w:t xml:space="preserve">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shall offer a plan under Subsection (b) at the same premium rate charged for that plan to an individual 65 years of age or 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Medicare supplement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