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1803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 1652.059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shall offer a plan under Subsection (b) at the same premium rate charged for that plan to an individual 65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