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88R19088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Oliverson, Howard, Jetton, Lalani,</w:t>
      </w:r>
      <w:r xml:space="preserve">
        <w:tab wTab="150" tlc="none" cTlc="0"/>
      </w:r>
      <w:r>
        <w:t xml:space="preserve">H.B.</w:t>
      </w:r>
      <w:r xml:space="preserve">
        <w:t> </w:t>
      </w:r>
      <w:r>
        <w:t xml:space="preserve">No.</w:t>
      </w:r>
      <w:r xml:space="preserve">
        <w:t> </w:t>
      </w:r>
      <w:r>
        <w:t xml:space="preserve">1805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by patients with certain medical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169.001(3),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10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2880"/>
        <w:jc w:val="both"/>
      </w:pPr>
      <w:r>
        <w:t xml:space="preserve">(x)</w:t>
      </w:r>
      <w:r xml:space="preserve">
        <w:t> </w:t>
      </w:r>
      <w:r xml:space="preserve">
        <w:t> </w:t>
      </w:r>
      <w:r>
        <w:rPr>
          <w:u w:val="single"/>
        </w:rPr>
        <w:t xml:space="preserve">a condition that causes chronic pain, for which a physician would otherwise prescribe an opioid;</w:t>
      </w:r>
    </w:p>
    <w:p w:rsidR="003F3435" w:rsidRDefault="0032493E">
      <w:pPr>
        <w:spacing w:line="480" w:lineRule="auto"/>
        <w:ind w:firstLine="2880"/>
        <w:jc w:val="both"/>
      </w:pPr>
      <w:r>
        <w:rPr>
          <w:u w:val="single"/>
        </w:rPr>
        <w:t xml:space="preserve">(xi)</w:t>
      </w:r>
      <w:r xml:space="preserve">
        <w:t> </w:t>
      </w:r>
      <w:r xml:space="preserve">
        <w:t> </w:t>
      </w:r>
      <w:r>
        <w:t xml:space="preserve">a medical condition that is approved for a research program under Subchapter F, Chapter 487, Health and Safety Code, and for which the patient is receiving treatment under that program; </w:t>
      </w:r>
      <w:r>
        <w:rPr>
          <w:u w:val="single"/>
        </w:rPr>
        <w:t xml:space="preserve">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 debilitating medical condition designated by the Department of State Health Services under Subsection (b);</w:t>
      </w:r>
      <w:r>
        <w:t xml:space="preserv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by rule may designate debilitating medical conditions for which a physician may prescribe low-THC cannabis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