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1809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17,</w:t>
      </w:r>
      <w:r xml:space="preserve">
        <w:t> </w:t>
      </w:r>
      <w:r>
        <w:t xml:space="preserve">2023; April</w:t>
      </w:r>
      <w:r xml:space="preserve">
        <w:t> </w:t>
      </w:r>
      <w:r>
        <w:t xml:space="preserve">18,</w:t>
      </w:r>
      <w:r xml:space="preserve">
        <w:t> </w:t>
      </w:r>
      <w:r>
        <w:t xml:space="preserve">2023, read first time and referred to Committee on Water, Agriculture &amp; Rural Affairs; May</w:t>
      </w:r>
      <w:r xml:space="preserve">
        <w:t> </w:t>
      </w:r>
      <w:r>
        <w:t xml:space="preserve">2,</w:t>
      </w:r>
      <w:r xml:space="preserve">
        <w:t> </w:t>
      </w:r>
      <w:r>
        <w:t xml:space="preserve">2023, reported favorably by the following vote:</w:t>
      </w:r>
      <w:r>
        <w:t xml:space="preserve"> </w:t>
      </w:r>
      <w:r>
        <w:t xml:space="preserve"> </w:t>
      </w:r>
      <w:r>
        <w:t xml:space="preserve">Yeas 8, Nays 0; May</w:t>
      </w:r>
      <w:r xml:space="preserve">
        <w:t> </w:t>
      </w:r>
      <w:r>
        <w:t xml:space="preserve">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establishment of the commercial oyster mariculture advisory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75, Parks and Wildlife Code, is amended by adding Section 75.0108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75.0108.</w:t>
      </w:r>
      <w:r>
        <w:rPr>
          <w:u w:val="single"/>
        </w:rPr>
        <w:t xml:space="preserve"> </w:t>
      </w:r>
      <w:r>
        <w:rPr>
          <w:u w:val="single"/>
        </w:rPr>
        <w:t xml:space="preserve"> </w:t>
      </w:r>
      <w:r>
        <w:rPr>
          <w:u w:val="single"/>
        </w:rPr>
        <w:t xml:space="preserve">COMMERCIAL OYSTER MARICULTURE ADVISORY BOARD.  (a)  In this section, "advisory board" means the commercial oyster mariculture advisory board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commercial oyster mariculture advisory board is established within the department to advise all state agencies with regulatory authority over the commercial oyster mariculture industry.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advisory board consists of seven members appointed by the governor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four members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represent the commercial oyster mariculture industry, seafood industry, or related industries;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a documented interest in the promotion of entrepreneurship, free enterprise, and the increased use, consumption, marketing, and sale of native oysters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represent the scientific and conservation community in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a documented interest in the sustainability of the natural coastal environment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least one advisory board member must be a member of the department's oyster advisory workgroup.</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Advisory board members serve staggered five-year terms, with the terms of one or two members expiring February 1 of each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vacancy occurs on the advisory board, the governor shall appoint a replacement who meets the qualifications for the vacant position to serve for the remainder of the term.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governor shall designate an advisory board member described by Subsection (c)(1) to serve as the advisory board's presiding officer for a one-year term. The presiding officer may vote on any matter before the advisory board.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Advisory board members serve without compensation but are entitled to reimbursement for actual and necessary expenses incurred in performing official duties authorized by the office of the governor.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advisory board shall make recommendations to the governor and all relevant agencies concerning the commercial oyster mariculture industry, including recommendations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promotion of the use, consumption, marketing, and sale of maricultured oysters;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promotion of sustainable commercial oyster mariculture;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commercial oyster mariculture permits and regulations.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In performing the advisory board's duties under this section, the advisory board may consult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industry and academic resources;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agencies of this state and the United States, including the: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department;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General Land Office;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Department of State Health Services, including the seafood and aquatic life unit;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National Marine Fisheries Service;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United States Army Corps of Engineers;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United States Coast Guard.</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Chapter 2110, Government Code, does not apply to the advisory board.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31, 2023, the governor shall appoint the initial members of the commercial oyster mariculture advisory board under Section 75.0108, Parks and Wildlife Code, as added by this Act.  Notwithstanding Section 75.0108(e), Parks and Wildlife Code, as added by this Act, in making the initial appointments, the governor shall designate one member to a term expiring February 1, 2024, one member to a term expiring February 1, 2025, one member to a term expiring February 1, 2026, two members to terms expiring February 1, 2027, and two members to terms expiring February 1, 2028.</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