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88R7411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Goodwin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a special education certification to teach students with disabilities.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21, Education Code, is amended by adding Section 21.04892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21.04892.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SPECIAL EDUCATION CERTIFICATION.  (a)  To ensure that there are teachers with special training in providing instruction to students with disabilities, the board shall establish a special education certificate.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be eligible for a certificate established under this section, a person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satisfactorily complete the coursework for that certificate in an educator preparation program, including a knowledge-based and skills-based course of instruction and field-based experience in providing instruction to students with disabilities;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perform satisfactorily on a special education certificate examination prescribed by the board;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satisfy any other requirements prescribed by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board determines that there is a shortage of teachers who hold special education certificates, the board may offer incentives to teachers to become certified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State Board for Educator Certification shall propose rules: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establishing requirements and prescribing an examination for a special education certificate examination as required by Section 21.04892, Education Code, as added by this Act;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establishing standards to govern the approval and renewal of approval of educator preparation programs for special education certification.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Beginning on or after January 1, 2025, a person must satisfy the requirements for certification under Section 21.04892, Education Code, as added by this Act, to receive a certification in special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