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88R4359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enact certain park use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320.0455(a) and (b-1),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county with a population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2.8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580,000 or more that is adjacent to a county with a population of 2.8 million or more;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more than 410,000 and less than 455,000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less than 75,000 that is adjacent to three counties with populations of more than 450,000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board created for a county described by Subsection (a)(2) </w:t>
      </w:r>
      <w:r>
        <w:rPr>
          <w:u w:val="single"/>
        </w:rPr>
        <w:t xml:space="preserve">or (a)(4)</w:t>
      </w:r>
      <w:r>
        <w:t xml:space="preserve"> may not adopt rules relating to the use of fireworks.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