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88R7465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1817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validity of a contract for which a disclosure of interested parties is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2252.908, Government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contract described by Subsection (b) entered into by a governmental entity or state agency is voidable for failure to provide the disclosure of interested parties required by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entity or state agency submits to the business entity written notice of the business entity's failure to provide the required disclosure;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entity fails to submit to the governmental entity or state agency the required disclosure on or before the 10th business day after the date the business entity receives the written notice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court in which a suit challenging the validity of a contract described by Section 2252.908(b), Government Code, is pending on the effective date of this Act may require the governmental entity or state agency to provide the written notice required under Section 2252.908(f-1), Government Code, as added by this Act, if the court finds that failure to enforce that requirement would cause an inequitable or unjust result for the parties to the suit.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contract described by Section 2252.908(b), Government Code, that was executed before the effective date of this Act is presumed to have been properly executed in accordance with Section 2252.908, Government Code, if an action to void or invalidate the contract has not been filed with a court in this state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