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88R20242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Raney</w:t>
      </w:r>
      <w:r xml:space="preserve">
        <w:tab wTab="150" tlc="none" cTlc="0"/>
      </w:r>
      <w:r>
        <w:t xml:space="preserve">H.B.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organized retail theft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ORGANIZED RETAIL THEFT TASK FORCE.  (a) </w:t>
      </w:r>
      <w:r>
        <w:rPr>
          <w:u w:val="single"/>
        </w:rPr>
        <w:t xml:space="preserve"> </w:t>
      </w:r>
      <w:r>
        <w:rPr>
          <w:u w:val="single"/>
        </w:rPr>
        <w:t xml:space="preserve">In this section, "organized retail theft" means conduct constituting an offense under Section 31.16,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representative from a retailer with a physical retail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representative from an online retailer;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local, state, and federal law enforcement agencies.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designate a member of the task force as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least quarterly at the call of the presiding officer. </w:t>
      </w:r>
      <w:r>
        <w:rPr>
          <w:u w:val="single"/>
        </w:rPr>
        <w:t xml:space="preserve"> </w:t>
      </w:r>
      <w:r>
        <w:rPr>
          <w:u w:val="single"/>
        </w:rPr>
        <w:t xml:space="preserve">A task force meeting may be conducted virtually through the Internet.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conduct an ongoing study of organized retail theft in this state.  In conducting the study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of organized retail theft on the collection of sales tax;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long-term economic impacts of organized retail theft;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advantages and disadvantages of taking various actions to reduce organized retail theft;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organized retail theft outreach and prevention programs, including coordination among stakeholders, including local, state, and federal law enforcement agencies;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for law enforcement officers and prosecutors on effective strategies for combating organized retail theft.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conducting the study under Subsection (f), the members of the task force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any organization, governmental entity, or person the task force considers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share information relating to an active criminal investigation with one another regardless of whether the information would otherwise be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submitted under Subsection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legislative and other recommendations to increase transparency, improve security, enhance consumer protections, prevent organized retail theft, and address the long-term economic impact of organized retail theft;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electronically.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does not apply to the duration of the task force or to the designation of the task force's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 appoint the organized retail theft task force as required by Section 403.0302,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