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88R7266 SHH-D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w:t>
      </w:r>
      <w:r xml:space="preserve">
        <w:tab wTab="150" tlc="none" cTlc="0"/>
      </w:r>
      <w:r>
        <w:t xml:space="preserve">H.B.</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organized retail theft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ORGANIZED RETAIL THEFT TASK FORCE.  (a) </w:t>
      </w:r>
      <w:r>
        <w:rPr>
          <w:u w:val="single"/>
        </w:rPr>
        <w:t xml:space="preserve"> </w:t>
      </w:r>
      <w:r>
        <w:rPr>
          <w:u w:val="single"/>
        </w:rPr>
        <w:t xml:space="preserve">In this section, "organized retail theft" means conduct constituting an offense under Section 31.16,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appoint a task force to study and make recommendations related to preventing organized retail theft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representative working in a physical retail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representative from an online retailer;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from local, state, and federal law enforcement agencies.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designate a member of the task force as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meet at least quarterly at the call of the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shall conduct an ongoing study of organized retail theft in this state.  In conducting the study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laws and regulations addressing organized retail theft in other jurisdictions, including international political and economic organizations;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of organized retail theft on the collection of sales tax;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long-term economic impacts of organized retail theft;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advantages and disadvantages of taking various actions to reduce organized retail theft;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recommendations regarding organized retail theft outreach and prevention programs, including coordination among local, state, and federal law enforcement agencies.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conducting the study under Subsection (f), the task force may consult with any organization, governmental entity, or person the task force considers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task force shall prepare and submit a report of the study conducted under Subsection (f) to the governor, the lieutenant governor, the speaker of the house of representatives, the comptroller, and each standing committee of the legislature with primary jurisdiction over criminal justice matters.  The report must include legislative and other recommendations to increase transparency, improve security, enhance consumer protections, prevent organized retail theft, and address the long-term economic impact of organized retail theft.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does not apply to the duration of the task force or to the designation of the task force's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comptroller of public accounts shall appoint the organized retail theft task force as required by Section 403.0302,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