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88R18950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1832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1832:</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1832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payment to employees of the Texas Department of Criminal Justice for vacation leave.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PAYMENT FOR VACATION LEAVE.  (a)  The department may adopt a policy allowing department employees, one time during a fiscal year, to elect to receive a lump-sum payment for the employee's accumulated vacation leave in lieu of taking the leave.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hours of accumulated vacation leave for which an employee may be paid under a policy authorized by this section may not exceed all of the employee's accumulated vacation leave or 40 hours of accumulated vacation leave, whichever is less.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department pays a department employee for the employee's accumulated vacation leave under a policy authorized by this 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compute the amount of the payment by multiplying the employee's hourly rate of compensation on the date the employee notifies the department of an election by the number of hours of accumulated vacation leave for which the employee elects to be paid;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making the payment, deduct the number of hours for which the employee received payment from the employee's accumulated vacation leave balance.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