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88R9896 AJZ-F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Jones of Harris</w:t>
      </w:r>
      <w:r xml:space="preserve">
        <w:tab wTab="150" tlc="none" cTlc="0"/>
      </w:r>
      <w:r>
        <w:t xml:space="preserve">H.B.</w:t>
      </w:r>
      <w:r xml:space="preserve">
        <w:t> </w:t>
      </w:r>
      <w:r>
        <w:t xml:space="preserve">No.</w:t>
      </w:r>
      <w:r xml:space="preserve">
        <w:t> </w:t>
      </w:r>
      <w:r>
        <w:t xml:space="preserve">1835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venue for prosecution of misdemeanor cases in justice courts.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4.12(a), Code of Criminal Procedure, is amended to read as follows:</w:t>
      </w:r>
    </w:p>
    <w:p w:rsidR="003F3435" w:rsidRDefault="0032493E">
      <w:pPr>
        <w:spacing w:line="480" w:lineRule="auto"/>
        <w:ind w:firstLine="720"/>
        <w:jc w:val="both"/>
      </w:pPr>
      <w:r>
        <w:t xml:space="preserve">(a)</w:t>
      </w:r>
      <w:r xml:space="preserve">
        <w:t> </w:t>
      </w:r>
      <w:r xml:space="preserve">
        <w:t> </w:t>
      </w:r>
      <w:r>
        <w:t xml:space="preserve">Except as otherwise provided by this article, a misdemeanor case to be tried in justice court shall be tried:</w:t>
      </w:r>
    </w:p>
    <w:p w:rsidR="003F3435" w:rsidRDefault="0032493E">
      <w:pPr>
        <w:spacing w:line="480" w:lineRule="auto"/>
        <w:ind w:firstLine="1440"/>
        <w:jc w:val="both"/>
      </w:pPr>
      <w:r>
        <w:t xml:space="preserve">(1)</w:t>
      </w:r>
      <w:r xml:space="preserve">
        <w:t> </w:t>
      </w:r>
      <w:r xml:space="preserve">
        <w:t> </w:t>
      </w:r>
      <w:r>
        <w:t xml:space="preserve">in the precinct in which the offense was committed;</w:t>
      </w:r>
    </w:p>
    <w:p w:rsidR="003F3435" w:rsidRDefault="0032493E">
      <w:pPr>
        <w:spacing w:line="480" w:lineRule="auto"/>
        <w:ind w:firstLine="1440"/>
        <w:jc w:val="both"/>
      </w:pPr>
      <w:r>
        <w:t xml:space="preserve">(2)</w:t>
      </w:r>
      <w:r xml:space="preserve">
        <w:t> </w:t>
      </w:r>
      <w:r xml:space="preserve">
        <w:t> </w:t>
      </w:r>
      <w:r>
        <w:t xml:space="preserve">in the precinct in which the defendant or any of the defendants reside;</w:t>
      </w:r>
    </w:p>
    <w:p w:rsidR="003F3435" w:rsidRDefault="0032493E">
      <w:pPr>
        <w:spacing w:line="480" w:lineRule="auto"/>
        <w:ind w:firstLine="1440"/>
        <w:jc w:val="both"/>
      </w:pPr>
      <w:r>
        <w:t xml:space="preserve">(3)</w:t>
      </w:r>
      <w:r xml:space="preserve">
        <w:t> </w:t>
      </w:r>
      <w:r xml:space="preserve">
        <w:t> </w:t>
      </w:r>
      <w:r>
        <w:t xml:space="preserve">with the written consent of the state and each defendant or the defendant's attorney, in any other precinct within the county; or</w:t>
      </w:r>
    </w:p>
    <w:p w:rsidR="003F3435" w:rsidRDefault="0032493E">
      <w:pPr>
        <w:spacing w:line="480" w:lineRule="auto"/>
        <w:ind w:firstLine="1440"/>
        <w:jc w:val="both"/>
      </w:pPr>
      <w:r>
        <w:t xml:space="preserve">(4)</w:t>
      </w:r>
      <w:r xml:space="preserve">
        <w:t> </w:t>
      </w:r>
      <w:r xml:space="preserve">
        <w:t> </w:t>
      </w:r>
      <w:r>
        <w:t xml:space="preserve">if the offense was committed in a county with a population of 3.3 million or more, in any precinct </w:t>
      </w:r>
      <w:r>
        <w:rPr>
          <w:u w:val="single"/>
        </w:rPr>
        <w:t xml:space="preserve">that is:</w:t>
      </w:r>
    </w:p>
    <w:p w:rsidR="003F3435" w:rsidRDefault="0032493E">
      <w:pPr>
        <w:spacing w:line="480" w:lineRule="auto"/>
        <w:ind w:firstLine="2160"/>
        <w:jc w:val="both"/>
      </w:pPr>
      <w:r>
        <w:rPr>
          <w:u w:val="single"/>
        </w:rPr>
        <w:t xml:space="preserve">(A)</w:t>
      </w:r>
      <w:r xml:space="preserve">
        <w:t> </w:t>
      </w:r>
      <w:r xml:space="preserve">
        <w:t> </w:t>
      </w:r>
      <w:r>
        <w:t xml:space="preserve">[</w:t>
      </w:r>
      <w:r>
        <w:rPr>
          <w:strike/>
        </w:rPr>
        <w:t xml:space="preserve">in the county that is</w:t>
      </w:r>
      <w:r>
        <w:t xml:space="preserve">] adjacent to the precinct in which the offense was committed</w:t>
      </w:r>
      <w:r>
        <w:rPr>
          <w:u w:val="single"/>
        </w:rPr>
        <w:t xml:space="preserv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located in that county</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 misdemeanor case that is initially filed in a justice court on or after the effective date of this Act, regardless of whether the offense for which the case is filed occurred before, on, or after the effective date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1835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