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Metcalf, Spiller, Troxclair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1845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Perry, et al.)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read first time and referred to Committee on Water, Agriculture &amp; Rural Affairs;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licensing requirements for certain operators of wastewater systems and public water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Water Code, is amended by adding Section 37.0045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37.0045.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QUALIFICATIONS FOR CERTAIN LICENSES.  (a)  This section applies only to a Class D license for wastewater operators or public water system operators.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adopting educational attainment standards associated with the issuance of a license, the commission by rule shall establish a provisional certification program by which a person who does not possess a high school diploma or its equivalent may act as a provisional operator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all commission-required training associated with the license;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passed any commission-required examinations associated with the license;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acts under the direct supervision of a license 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