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88R20783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Howard, Thierry, 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1847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to certain reporting requirements for health care providers reviewing information on maternal mortality and morbidity for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34.008, Health and Safety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for purposes of this chapter, a health care provider, including a nurse, who during the review of information relevant to a case of pregnancy-associated death, pregnancy-related death, or severe maternal morbidity obtained under this chapter learns of conduct related to the provider's profession that is subject to a reporting requirement is exempt from that reporting requirement for the reviewed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1847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