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88R7334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1847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exception to certain reporting requirements for persons reviewing cases for the Texas Maternal Mortality and Morbidity Review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301, Occupations Code, is amended by adding Section 301.4015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301.4015.</w:t>
      </w:r>
      <w:r>
        <w:rPr>
          <w:u w:val="single"/>
        </w:rPr>
        <w:t xml:space="preserve"> </w:t>
      </w:r>
      <w:r>
        <w:rPr>
          <w:u w:val="single"/>
        </w:rPr>
        <w:t xml:space="preserve"> </w:t>
      </w:r>
      <w:r>
        <w:rPr>
          <w:u w:val="single"/>
        </w:rPr>
        <w:t xml:space="preserve">EXCEPTION TO REPORTING REQUIREMENT.  Notwithstanding any other provision of this subchapter, a person is not required to report to the board any conduct subject to reporting that the person has reasonable cause to believe occurred if the person learns of the conduct subject to reporting while reviewing, in connection with a report that is required by law, death cases for the Texas Maternal Mortality and Morbidity Review Committee established under Section 34.002,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