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1848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study by the secretary of state on the feasibility of central counting stations complying with federal standards for facilities that contain sensitive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127, Election Code, is amended by adding Section 127.010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127.010.</w:t>
      </w:r>
      <w:r>
        <w:rPr>
          <w:u w:val="single"/>
        </w:rPr>
        <w:t xml:space="preserve"> </w:t>
      </w:r>
      <w:r>
        <w:rPr>
          <w:u w:val="single"/>
        </w:rPr>
        <w:t xml:space="preserve"> </w:t>
      </w:r>
      <w:r>
        <w:rPr>
          <w:u w:val="single"/>
        </w:rPr>
        <w:t xml:space="preserve">FEASIBILITY STUDY ON CENTRAL COUNTING STATION OPERATING AS SENSITIVE COMPARTMENTED INFORMATION FACILITY.  (a)  The secretary of state shall conduct a study to consider the feasibility of conforming each  central counting station with the Sensitive Compartmented Information Facilities (SCIF) standards promulgated by the United States federal government.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study must consider the feasibility of ensuring substantial compliance with the SCIF standards while allowing for poll watching and other citizen involvement in an election permitted under state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1, 2024, the secretary of state shall create a detailed report summarizing the findings of the study and deliver the report to the legislature.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December 15, 2024.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1848 was passed by the House on May 9, 2023, by the following vote:</w:t>
      </w:r>
      <w:r xml:space="preserve">
        <w:t> </w:t>
      </w:r>
      <w:r xml:space="preserve">
        <w:t> </w:t>
      </w:r>
      <w:r>
        <w:t xml:space="preserve">Yeas 91, Nays 50,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1848 was passed by the Senate on May 24, 2023, by the following vote:</w:t>
      </w:r>
      <w:r xml:space="preserve">
        <w:t> </w:t>
      </w:r>
      <w:r xml:space="preserve">
        <w:t> </w:t>
      </w:r>
      <w:r>
        <w:t xml:space="preserve">Yeas 20, Nays 11.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