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88R7987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1851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by certain sellers that plants containing cycasin may be toxic to canids.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Rudy's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71.057, Agriculture Code, is amended to read as follows:</w:t>
      </w:r>
    </w:p>
    <w:p w:rsidR="003F3435" w:rsidRDefault="0032493E">
      <w:pPr>
        <w:spacing w:line="480" w:lineRule="auto"/>
        <w:ind w:firstLine="720"/>
        <w:jc w:val="both"/>
      </w:pPr>
      <w:r>
        <w:t xml:space="preserve">Sec.</w:t>
      </w:r>
      <w:r xml:space="preserve">
        <w:t> </w:t>
      </w:r>
      <w:r>
        <w:t xml:space="preserve">71.057.</w:t>
      </w:r>
      <w:r xml:space="preserve">
        <w:t> </w:t>
      </w:r>
      <w:r xml:space="preserve">
        <w:t> </w:t>
      </w:r>
      <w:r>
        <w:t xml:space="preserve">NURSERY DEALERS AND AGENTS; ANNUAL REGISTRATION</w:t>
      </w:r>
      <w:r>
        <w:rPr>
          <w:u w:val="single"/>
        </w:rPr>
        <w:t xml:space="preserve">; REQUIRED WARNING TO CONSUMERS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71.057, Agriculture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nursery dealer or nursery agent must include a written statement upon the sale of any species of plant containing cycasin warning the end user of the plant that the ingestion of the plant by canids can be harmful or fatal.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