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88R6733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parental access to public school library Internet portals and restriction of access to certain public school library materials for the parent's student.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33, Education Code, is amended by adding Section 33.026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PARENTAL  ACCESS TO LIBRARY INTERNET PORTAL AND RESTRICTION OF STUDENT ACCESS TO CERTAIN LIBRARY MATERIALS.  (a)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"Parent" includes a person standing in parental relation.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 library Internet portal" means an Internet portal that allows a student enrolled in a school district or open-enrollment charter school to reserve or check out materials in the catalog of a school library at the district or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maintains, or contracts with a third party to maintain, a school library Internet portal shall ensure that the Internet portal includes a feature for a parent of a student enrolled in the district or school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the Internet portal;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designate a library material as a restricted material that the parent's student may not be allowed to reserve, check out, or otherwise access for use outside of the school library.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not allow a student to reserve, check out, or otherwise use outside the school library a library material the student's parent has designated as a restricted material under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2024-2025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September 1, 2024, each school district and open-enrollment charter school shall ensure that each school library Internet portal complies with Section 33.026,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