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88R7193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1855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highway safety corridors; increasing a fine.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Dr.</w:t>
      </w:r>
      <w:r xml:space="preserve">
        <w:t> </w:t>
      </w:r>
      <w:r>
        <w:t xml:space="preserve">Michael James Babineaux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K, Chapter 201, Transportation Code, is amended by adding Section 201.9051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201.9051.</w:t>
      </w:r>
      <w:r>
        <w:rPr>
          <w:u w:val="single"/>
        </w:rPr>
        <w:t xml:space="preserve"> </w:t>
      </w:r>
      <w:r>
        <w:rPr>
          <w:u w:val="single"/>
        </w:rPr>
        <w:t xml:space="preserve"> </w:t>
      </w:r>
      <w:r>
        <w:rPr>
          <w:u w:val="single"/>
        </w:rPr>
        <w:t xml:space="preserve">HIGHWAY SAFETY CORRIDOR.  (a) </w:t>
      </w:r>
      <w:r>
        <w:rPr>
          <w:u w:val="single"/>
        </w:rPr>
        <w:t xml:space="preserve"> </w:t>
      </w:r>
      <w:r>
        <w:rPr>
          <w:u w:val="single"/>
        </w:rPr>
        <w:t xml:space="preserve">In this section, "political subdivision" means a municipality or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designate as a highway safety corridor a portion of a roadway containing a site with a high number of traffic accidents that lead to a serious injury or fatality as identified by the governing body of a political subdivision in whose jurisdiction the site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remove a highway safety corridor designation made under Subsection (b) on the 10th anniversary of the designation unless a governing body that identified the high traffic accident site notifies the department that the designation should be removed before that date or extended after that date. Each designation extension made under this subsection must be for a period of 10 years unless a shorter period is requested by the governing body and may be removed or extended as provided by this subsection for an initial designation.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as a highway safety corridor a portion of a roadway containing a site with a high number of traffic accidents that lead to a serious injury or fatality as identified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department's discretion, remove a designation made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erect a sign at each end of a designated portion of a roadway and at appropriate intermediate sites along the roadway: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indicating that the roadway is a highway safety corridor;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"Fines double: highway safety corridor."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by rule may prescribe forms for use by a political subdivision for the designation of a highway safety corridor under Subsection (b) and the removal or extension of a highway safety corridor designation under Subsection (c).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may distribute literature to the public concerning highway safety corridors designated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542, Transportation Code, is amended by adding Section 542.405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542.405.</w:t>
      </w:r>
      <w:r>
        <w:rPr>
          <w:u w:val="single"/>
        </w:rPr>
        <w:t xml:space="preserve"> </w:t>
      </w:r>
      <w:r>
        <w:rPr>
          <w:u w:val="single"/>
        </w:rPr>
        <w:t xml:space="preserve"> </w:t>
      </w:r>
      <w:r>
        <w:rPr>
          <w:u w:val="single"/>
        </w:rPr>
        <w:t xml:space="preserve">FINE FOR OFFENSE IN HIGHWAY SAFETY CORRIDOR.  (a)  In this section, "highway safety corridor" means a portion of a roadway designated under Section 201.9051.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offense under this subtitle, other than an offense under Chapter 548 or 552 or Section 545.412 or 545.413, is committed in a highway safety corridor: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minimum fine applicable to the offense is twice the minimum fine that would be applicable to the offense if it were committed outside a highway safety corridor;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maximum fine applicable to the offense is twice the maximum fine that would be applicable to the offense if it were committed outside a highway safety corridor.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covered by the law in effect immediately before the effective date of this Act,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