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88R7376 CJD-F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filing of an annual audit report by a title insurance company, title insurance agent, or direct operation.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2651.151(b),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agent's or direct operation's fiscal year, the agent or direct operation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 with a transmittal letter.  The agent shall also send a copy of the audit report and transmittal letter to each title insurance company that the agent represents.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2651.152(b),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the 90th day after the date of the end of the title insurance company's fiscal year, the company shall </w:t>
      </w:r>
      <w:r>
        <w:rPr>
          <w:u w:val="single"/>
        </w:rPr>
        <w:t xml:space="preserve">file with</w:t>
      </w:r>
      <w:r>
        <w:t xml:space="preserve"> [</w:t>
      </w:r>
      <w:r>
        <w:rPr>
          <w:strike/>
        </w:rPr>
        <w:t xml:space="preserve">send by certified mail, postage prepaid, to</w:t>
      </w:r>
      <w:r>
        <w:t xml:space="preserve">] the department one copy of the audit report.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