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88R7210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H.B.</w:t>
      </w:r>
      <w:r xml:space="preserve">
        <w:t> </w:t>
      </w:r>
      <w:r>
        <w:t xml:space="preserve">No.</w:t>
      </w:r>
      <w:r xml:space="preserve">
        <w:t> </w:t>
      </w:r>
      <w:r>
        <w:t xml:space="preserve">1867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referral agencies for assisted living facilities;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247, Health and Safety Code, is amended by adding Subchapter F to read as follows:</w:t>
      </w:r>
    </w:p>
    <w:p w:rsidR="003F3435" w:rsidRDefault="0032493E">
      <w:pPr>
        <w:spacing w:line="480" w:lineRule="auto"/>
        <w:jc w:val="center"/>
      </w:pPr>
      <w:r>
        <w:rPr>
          <w:u w:val="single"/>
        </w:rPr>
        <w:t xml:space="preserve">SUBCHAPTER F. REFERRAL AGENCIES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247.151.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"Client" means an individual seeking assistance with entering into an arrangement with an assisted living facility through a referral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"Referral agency" means a person who for compensation provides client referral services to individuals or assisted living facilities.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247.152.</w:t>
      </w:r>
      <w:r>
        <w:rPr>
          <w:u w:val="single"/>
        </w:rPr>
        <w:t xml:space="preserve"> </w:t>
      </w:r>
      <w:r>
        <w:rPr>
          <w:u w:val="single"/>
        </w:rPr>
        <w:t xml:space="preserve"> </w:t>
      </w:r>
      <w:r>
        <w:rPr>
          <w:u w:val="single"/>
        </w:rPr>
        <w:t xml:space="preserve">DISCLOSURE REQUIRED.  (a) A referral agency shall provide a written disclosure statement to each client before referring the client to an assisted living facility. A referral agency that only provides information to an individual is not required to provide the statement to the individual.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disclosure statement must contain the following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address, and telephone number of the referral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services the referral agency provides to the client;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fee amount the referral agency charges to the client;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fee amount the referral agency charges to the referred assisted living facility;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date of the most recent visit by referral agency personnel to the referred assisted living facility;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statement on whether the referral agency or its personnel have an ownership interest in the referred assisted living facility;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statement acknowledging the client may cease using the services of the referral agency without the agency assessing a penalty or cancellation fee against the client;</w:t>
      </w:r>
      <w:r>
        <w:t xml:space="preserve"> </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statement that the client is not required to enter into an agreement with the referred assisted living facility;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lines for the client's name and the date on which the referral agency provided the disclosure statement to the client.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247.153.</w:t>
      </w:r>
      <w:r>
        <w:rPr>
          <w:u w:val="single"/>
        </w:rPr>
        <w:t xml:space="preserve"> </w:t>
      </w:r>
      <w:r>
        <w:rPr>
          <w:u w:val="single"/>
        </w:rPr>
        <w:t xml:space="preserve"> </w:t>
      </w:r>
      <w:r>
        <w:rPr>
          <w:u w:val="single"/>
        </w:rPr>
        <w:t xml:space="preserve">INTAKE FORM.  (a) A referral agency shall complete a standardized intake form for each client before referring the client to an assisted living facility. A referral  agency that only provides information to an individual is not required to complete the intake form for the individual.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by rule shall prescribe a standardized intake form for use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intake form must ask a client to provide the following information regarding the client: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recent medical history relevant to the referral process;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known medications and medication management needs;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known medical diagnosis, health concerns, and  reasons for seeking a referral to an assisted living facility;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behaviors or symptoms that may cause concern or require special care;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mental illness, dementia, or developmental disability diagnosis;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daily living assistance needs, activity preferences, and sleeping habits;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particular cultural or language access needs and accommodations;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geographic location preferences;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any special dietary needs and food preferences;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description of the client's daily routine;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basic financial information and any available long-term care insurance or financial assistance, including Medicaid, that may be helpful in defining assisted living facility options for the client.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247.154.</w:t>
      </w:r>
      <w:r>
        <w:rPr>
          <w:u w:val="single"/>
        </w:rPr>
        <w:t xml:space="preserve"> </w:t>
      </w:r>
      <w:r>
        <w:rPr>
          <w:u w:val="single"/>
        </w:rPr>
        <w:t xml:space="preserve"> </w:t>
      </w:r>
      <w:r>
        <w:rPr>
          <w:u w:val="single"/>
        </w:rPr>
        <w:t xml:space="preserve">GENERAL FACILITY INFORMATION.  (a) Before referring a client to an assisted living facility, a referral agency shall consult with a representative of the facility and obtain the following general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type and number of the facility's license;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facility's license authorizes the facility to provide care to individuals with a mental illness, dementia, or a developmental disability;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sources of payment the facility accepts, including whether the facility accepts Medicaid;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general level of medication management services the facility provides;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general level and types of personal care services the facility provides;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particular cultural needs the facility accommodates or may accommodate;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primary and secondary languages spoken by the facility's care providers;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activities the facility typically provides;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client behavioral problems or symptoms the facility is or is not equipped to address;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food preferences and special dietary needs the facility accommodates or may accommodate;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other available special care or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referral agency at least annually shall consult with and obtain from an assisted living facility the information required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247.155.</w:t>
      </w:r>
      <w:r>
        <w:rPr>
          <w:u w:val="single"/>
        </w:rPr>
        <w:t xml:space="preserve"> </w:t>
      </w:r>
      <w:r>
        <w:rPr>
          <w:u w:val="single"/>
        </w:rPr>
        <w:t xml:space="preserve"> </w:t>
      </w:r>
      <w:r>
        <w:rPr>
          <w:u w:val="single"/>
        </w:rPr>
        <w:t xml:space="preserve">FACILITY VIOLATION STATUS.  (a) Before referring a client to an assisted living facility, a referral agency shall conduct a search of the commission's Internet website and inform the client in writing whether the assisted living facility is listed on the website for a violation of licensing requirements.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referral agency must conduct the search described by Subsection (a) not earlier than 30 days before the date the agency provides the information to the client.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247.156.</w:t>
      </w:r>
      <w:r>
        <w:rPr>
          <w:u w:val="single"/>
        </w:rPr>
        <w:t xml:space="preserve"> </w:t>
      </w:r>
      <w:r>
        <w:rPr>
          <w:u w:val="single"/>
        </w:rPr>
        <w:t xml:space="preserve"> </w:t>
      </w:r>
      <w:r>
        <w:rPr>
          <w:u w:val="single"/>
        </w:rPr>
        <w:t xml:space="preserve">REFERRAL OF CLIENT TO ASSISTED LIVING FACILITY.  To the extent practicable, a referral agency shall refer a client to an assisted living facility that appears, in the best judgment of the agency, to meet the client's identified needs.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247.157.</w:t>
      </w:r>
      <w:r>
        <w:rPr>
          <w:u w:val="single"/>
        </w:rPr>
        <w:t xml:space="preserve"> </w:t>
      </w:r>
      <w:r>
        <w:rPr>
          <w:u w:val="single"/>
        </w:rPr>
        <w:t xml:space="preserve"> </w:t>
      </w:r>
      <w:r>
        <w:rPr>
          <w:u w:val="single"/>
        </w:rPr>
        <w:t xml:space="preserve">CIVIL PENALTY.  (a) At the request of the commission, the attorney general shall bring an action to collect a civil penalty from a referral agency that violates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civil penalty may not exceed $1,000 for each violation. Each day of a continuing violation constitutes a separate violation.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247.158.</w:t>
      </w:r>
      <w:r>
        <w:rPr>
          <w:u w:val="single"/>
        </w:rPr>
        <w:t xml:space="preserve"> </w:t>
      </w:r>
      <w:r>
        <w:rPr>
          <w:u w:val="single"/>
        </w:rPr>
        <w:t xml:space="preserve"> </w:t>
      </w:r>
      <w:r>
        <w:rPr>
          <w:u w:val="single"/>
        </w:rPr>
        <w:t xml:space="preserve">RULES.  The executive commissioner may adopt rules necessary to implement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executive commissioner of the Health and Human Services Commission shall adopt rules necessary to implement Subchapter F, Chapter 247,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