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88R7151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1868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minimum staffing standards for assisted living facilities that provide care to persons with Alzheimer's disease or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247.029(b),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minimum standards for an assisted living facility classified under this section.  </w:t>
      </w:r>
      <w:r>
        <w:rPr>
          <w:u w:val="single"/>
        </w:rPr>
        <w:t xml:space="preserve">The minimum standards must require the facility to maintain an adequate ratio of direct care staff to residents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scientific evidence;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consideration of the increased need for supervision of residents with Alzheimer's disease or related disorders.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the minimum standards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