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King of Uvalde, Murr, Dean, Moody</w:t>
      </w:r>
      <w:r xml:space="preserve">
        <w:tab wTab="150" tlc="none" cTlc="0"/>
      </w:r>
      <w:r>
        <w:t xml:space="preserve">H.B.</w:t>
      </w:r>
      <w:r xml:space="preserve">
        <w:t> </w:t>
      </w:r>
      <w:r>
        <w:t xml:space="preserve">No.</w:t>
      </w:r>
      <w:r xml:space="preserve">
        <w:t> </w:t>
      </w:r>
      <w:r>
        <w:t xml:space="preserve">1879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The commission shall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The commission shall ensure that </w:t>
      </w:r>
      <w:r>
        <w:rPr>
          <w:u w:val="single"/>
        </w:rPr>
        <w:t xml:space="preserve">the provider is reimbursed at a rate equal to 70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