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88R7209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certain laws on the provision of money to organizations that support access to health care services and the repeal of certain laws prohibiting abortion.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161, Health and Safety Code, is amended by adding Subchapter Y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Y.  APPLICABILITY OF LAWS PROHIBITING HEALTH CARE SERVICES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161.751.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LAWS ON PROVISION OF MONEY TO CERTAIN ORGANIZATIONS.  The provision of money, including a donation or gift, to an organization that provides support services to an individual in accessing a health care service: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constitute a violation of any prohibition under state law on the provision of that health care service;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be the basis for a cause of action related to the provision of that health care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19.06, Penal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19.06.</w:t>
      </w:r>
      <w:r xml:space="preserve">
        <w:t> </w:t>
      </w:r>
      <w:r xml:space="preserve">
        <w:t> </w:t>
      </w:r>
      <w:r>
        <w:t xml:space="preserve">APPLICABILITY TO CERTAIN CONDUCT.  This chapter does not apply to the death of an unborn child if the conduct charged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conduct committed by the mother of the unborn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lawful medical procedure performed by a physician or other licensed health care provider with the requisite consent, if the death of the unborn child was the intended result of the procedure;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lawful medical procedure performed by a physician or other licensed health care provider with the requisite consent as part of an assisted reproduction as defined by Section 160.102, Family Code;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dispensation of a drug in accordance with law or administration of a drug prescribed in accordance with law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provision of money to an organization that provides support services to an individual in accessing health care services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22.12, Penal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22.12.</w:t>
      </w:r>
      <w:r xml:space="preserve">
        <w:t> </w:t>
      </w:r>
      <w:r xml:space="preserve">
        <w:t> </w:t>
      </w:r>
      <w:r>
        <w:t xml:space="preserve">APPLICABILITY TO CERTAIN CONDUCT.  This chapter does not apply to conduct charged as having been committed against an individual who is an unborn child if the conduct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committed by the mother of the unborn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lawful medical procedure performed by a physician or other health care provider with the requisite consent;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lawful medical procedure performed by a physician or other licensed health care provider with the requisite consent as part of an assisted reproduction as defined by Section 160.102, Family Code;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dispensation of a drug in accordance with law or administration of a drug prescribed in accordance with law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provision of money to an organization that provides support services to an individual in accessing health care services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171.206(b),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subchapter may not be construed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authorize the initiation of a cause of action against or the prosecution of a woman on whom an abortion is performed or induced or attempted to be performed or induced in violation of this subchapter;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wholly or partly repeal, either expressly or by implication, any other statute that regulates or prohibits abortion[</w:t>
      </w:r>
      <w:r>
        <w:rPr>
          <w:strike/>
        </w:rPr>
        <w:t xml:space="preserve">, including Chapter 6-1/2, Title 71, Revised Statutes</w:t>
      </w:r>
      <w:r>
        <w:t xml:space="preserve">];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restrict a political subdivision from regulating or prohibiting abortion in a manner that is at least as stringent as the laws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171.207(b),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may not be construed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legalize the conduct prohibited by this subchapter [</w:t>
      </w:r>
      <w:r>
        <w:rPr>
          <w:strike/>
        </w:rPr>
        <w:t xml:space="preserve">or by Chapter 6-1/2, Title 71, Revised Statutes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limit in any way or affect the availability of a remedy established by Section 171.208;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limit the enforceability of any other laws that regulate or prohibit abortion.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Chapter 6-1/2, Title 71, Revised Statutes,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