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1885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4,</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11,</w:t>
      </w:r>
      <w:r xml:space="preserve">
        <w:t> </w:t>
      </w:r>
      <w:r>
        <w:t xml:space="preserve">2023, reported favorably by the following vote:</w:t>
      </w:r>
      <w:r>
        <w:t xml:space="preserve"> </w:t>
      </w:r>
      <w:r>
        <w:t xml:space="preserve"> </w:t>
      </w:r>
      <w:r>
        <w:t xml:space="preserve">Yeas 8,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Texas Transportation Commission to establish variable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545.353, Transportation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by rule may establish a variable speed limit program to allow the temporary lowering of a prima facie speed limit to address inclement weather, congestion, road construction, or any other condition that affects the safe and orderly movement of traffic on a roadway for which the commission has the authority to establish a speed limit. </w:t>
      </w:r>
      <w:r>
        <w:rPr>
          <w:u w:val="single"/>
        </w:rPr>
        <w:t xml:space="preserve"> </w:t>
      </w:r>
      <w:r>
        <w:rPr>
          <w:u w:val="single"/>
        </w:rPr>
        <w:t xml:space="preserve">Notice of a speed limit established under the program may be displayed using a stationary or portable changeable message sign, as defined by Section 544.013.  The program may not authorize the lowering of a speed limit to divert traffic to a toll road for the purpose of increasing revenue from toll charges.  A speed limit that is established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an engineering and traffic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effective for all or a designated portion of the highway and may be effective for any period of the day or night, as the Texas Department of Transportation determines necessary;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be less than 10 miles per hour below the prima facie speed limit on the portion of the highway to which it applies;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effective only when the speed limit is posted and only if a sign notifying motorists of the change in speed limit is posted not less than 500 feet but not more than 1,000 feet before the point at which the speed limit begins.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