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88R11025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Swanson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1891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quorum requirement for a tax levy vote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81.006, Local Government Code, is amended by amending Subsection (b) and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(b-1), a</w:t>
      </w:r>
      <w:r>
        <w:t xml:space="preserve"> [</w:t>
      </w:r>
      <w:r>
        <w:rPr>
          <w:strike/>
        </w:rPr>
        <w:t xml:space="preserve">A</w:t>
      </w:r>
      <w:r>
        <w:t xml:space="preserve">] county tax may be levied at any regularly scheduled meeting of the court when at least four members of the court are present.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county with a population of 3.3 million or more, a county tax may be levied at any regularly scheduled meeting of the court only when five members of the court are present.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commissioners court meeting held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1891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