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1898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18,</w:t>
      </w:r>
      <w:r xml:space="preserve">
        <w:t> </w:t>
      </w:r>
      <w:r>
        <w:t xml:space="preserve">2023; April</w:t>
      </w:r>
      <w:r xml:space="preserve">
        <w:t> </w:t>
      </w:r>
      <w:r>
        <w:t xml:space="preserve">19,</w:t>
      </w:r>
      <w:r xml:space="preserve">
        <w:t> </w:t>
      </w:r>
      <w:r>
        <w:t xml:space="preserve">2023, read first time and referred to Committee on Health &amp; Human Services;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1;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1898</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grant program to fund the provision by children's hospitals of mental and behavioral health services to children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531.09936.</w:t>
      </w:r>
      <w:r>
        <w:rPr>
          <w:u w:val="single"/>
        </w:rPr>
        <w:t xml:space="preserve"> </w:t>
      </w:r>
      <w:r>
        <w:rPr>
          <w:u w:val="single"/>
        </w:rPr>
        <w:t xml:space="preserve"> </w:t>
      </w:r>
      <w:r>
        <w:rPr>
          <w:u w:val="single"/>
        </w:rPr>
        <w:t xml:space="preserve">GRANT PROGRAM TO FUND MENTAL AND BEHAVIORAL HEALTH SERVICES BY CERTAIN CHILDREN'S HOSPITALS.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"Children's hospital" means a hospital designated by the Centers for Medicare and Medicaid Services as a children's hospital that is exempted by that federal agency from payment under the inpatient prospective payment system under Medicare.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program" means the grant program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and to the extent money is specifically appropriated to the commission for that purpose, the commission shall establish a grant program under which the commission provides grants to children's hospitals that the hospitals may, except as provided by Subsection (e), use to directly provide mental and behavioral health services to children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children's hospital may apply for a grant under the grant program in the form and manner prescribed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may not use a grant awarded under the grant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reimburse an expense or pay a cost that a health benefit plan or other source, including Medicaid, is obligated to reimburse or pay by law or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including treatments or procedures, to a child that affirm the child's perception of the child's sex if that perception is inconsistent with the child's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monitor and evaluate the use of money awarded under the grant program to ensure compliance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 shall submit a biennial report to the legislature on the performance of the grant program during the preceding two state fiscal years.  The report must include the name of each grant recipient awarded a grant under the program and the amount of the recipient's award during the fiscal years covered by the report.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