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1899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penalties for insider trading and other misuse of official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39.06, Penal Code, is amended by amending Subsection (e) and adding Subsection (g)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w:t>
      </w:r>
      <w:r>
        <w:rPr>
          <w:u w:val="single"/>
        </w:rPr>
        <w:t xml:space="preserve">(g)</w:t>
      </w:r>
      <w:r>
        <w:t xml:space="preserve"> [</w:t>
      </w:r>
      <w:r>
        <w:rPr>
          <w:strike/>
        </w:rPr>
        <w:t xml:space="preserve">(f)</w:t>
      </w:r>
      <w:r>
        <w:t xml:space="preserve">], an offense under this section is a felony of the third degree.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 of an offense under this section results in a net pecuniary gain to the person committing the offense,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net pecuniary gain is less than $150,000;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net pecuniary gain is $150,000 or more but less than $300,000;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net pecuniary gain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39.06(f),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changes in law made by this Act apply only to an offense committed on or after the effective date of this Act.  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(b)</w:t>
      </w:r>
      <w:r xml:space="preserve">
        <w:t> </w:t>
      </w:r>
      <w:r xml:space="preserve">
        <w:t> </w:t>
      </w:r>
      <w:r>
        <w:t xml:space="preserve">An offense committed before the effective date of this Act is covered by the law in effect when the offense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