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nonrenewal of a property and casualty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 Insurance Code, is amended to read as follows:</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NONRENEWAL OF POLICIES; NOTICE REQUIRED. Unless the insurer has mailed written notice of nonrenewal or renewal with written notice of change in coverage as provided by Section 2002.001 to the insured not later than the </w:t>
      </w:r>
      <w:r>
        <w:rPr>
          <w:u w:val="single"/>
        </w:rPr>
        <w:t xml:space="preserve">60th</w:t>
      </w:r>
      <w:r>
        <w:t xml:space="preserve"> [</w:t>
      </w:r>
      <w:r>
        <w:rPr>
          <w:strike/>
        </w:rPr>
        <w:t xml:space="preserve">30th</w:t>
      </w:r>
      <w:r>
        <w:t xml:space="preserve">]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