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88R7376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filing of an annual audit report by a title insurance company, title insurance agent, or direct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2651.151(b),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agent's or direct operation's fiscal year, the agent or direct operation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 with a transmittal letter.  The agent shall also send a copy of the audit report and transmittal letter to each title insurance company that the agent represents.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2651.152(b),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title insurance company's fiscal year, the company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