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1909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filing of applications for expunction of certain information contained in arrest records and files.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2a(a), Article 55.02,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expunction of information contained in records and files under Article 55.01(d) may file an application for expunction with the attorney representing the state in the prosecution of felonies in the county in which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person resides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was alleged to have occurred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 expunction of information contained in arrest records and files relating to any criminal offense occurring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