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88R1145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1910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forgery.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32.21, Penal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For purposes of Subsection (e-1), it is presumed that a person in possession of money that is forged within the meaning of Subsection (a)(1)(A) intended to obtain a property or service of a value equal to the total purported value of the forged money.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