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Plesa, 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1914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compensatory time accrued by an employee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659.015(k),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Compensatory time off to which </w:t>
      </w:r>
      <w:r>
        <w:rPr>
          <w:u w:val="single"/>
        </w:rPr>
        <w:t xml:space="preserve">an employee of</w:t>
      </w:r>
      <w:r>
        <w:t xml:space="preserve"> [</w:t>
      </w:r>
      <w:r>
        <w:rPr>
          <w:strike/>
        </w:rPr>
        <w:t xml:space="preserve">a correctional officer employed by</w:t>
      </w:r>
      <w:r>
        <w:t xml:space="preserve">] the Texas Department of Criminal Justice is entitled under Subsection (f) must be taken during the 24-month period following the end of the workweek in which the compensatory time was accrued or it lapses.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