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1916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approval of subdivision plats, improvement projects, and certain special districts by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232, Local Government Code, is amended by adding Section 232.012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232.012.</w:t>
      </w:r>
      <w:r>
        <w:rPr>
          <w:u w:val="single"/>
        </w:rPr>
        <w:t xml:space="preserve"> </w:t>
      </w:r>
      <w:r>
        <w:rPr>
          <w:u w:val="single"/>
        </w:rPr>
        <w:t xml:space="preserve"> </w:t>
      </w:r>
      <w:r>
        <w:rPr>
          <w:u w:val="single"/>
        </w:rPr>
        <w:t xml:space="preserve">COUNTY APPROVAL FOR CERTAIN DISTRICTS AND IMPROVEMENTS.  (a)  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population of 100,000 or more;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area that is less than 250 square miles;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subject to Chapter 49, Water Code, or Chapter 372, of this code,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wholly located outside the corporate limits or extraterritorial jurisdiction of a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in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plat application submitted to a county subject to this section must include a plan for the provision of emergency services, including public safety, fire suppression, and emergency medical services, to the tract of land.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developer of a subdivision of land outside the corporate limits or extraterritorial jurisdiction of a municipality  must obtain the written approval of the commissioners court of the county before finalizing the plans and specifications for an improvement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or drainage improvement that is within a plat that is subject to the platting jurisdiction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or drainage improvement to be located on the property, right-of-way, or easement of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dedication of right-of-way of a road or highway by the developer to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copy of the final official statement of bonds issued for an improvement described by Subsection (c) shall be provided by a district or other issuer of the bonds to the county clerk within 60 days of the date of closing of the transaction. The official statement shall include a statement on the cover that the bonds are not obligations of the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developer of a subdivision of land outside the corporate limits or extraterritorial jurisdiction of a municipality, but within a district, shall include a note on plats that the land is within a district that levies a tax or assessment and that the infrastructure to serve the land is financed, designed, and constructed by the district, not the county.  The county shall prescribe the form and wording of the plat note.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district that is subject to Subchapter M, Chapter 49, Water Code, or Section 5.014, Property Code, shall include in the required form of notice to purchasers the following statement:  "The district is located in the unincorporated area of the county and not within any city jurisdiction.  The infrastructure to serve the property is designed and constructed by the district, and not the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creation of a district shall be reviewed by the county as provided by this subsection.  Promptly after a petition is filed with the Texas Commission on Environmental Quality or its successor agency to create a district, the commission shall notify the commissioners court of the county.  The county shall review the petition and application for creation and other evidence and information relating to the proposed district. In the event the commissioners court votes to submit information to the commission or to make a recommendation regarding the creation of the proposed district, the commissioners court, at least 10 days before the date set for action on the petition, shall provide to the commission a written recommendation and findings, conclusions, and other information supporting the recommendation.  The commission shall consider the written opinion submitted by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