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88R8968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1916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county approval for improvement projects of certain conservation and reclamation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49, Water Code, is amended by adding Section 49.240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49.240.</w:t>
      </w:r>
      <w:r>
        <w:rPr>
          <w:u w:val="single"/>
        </w:rPr>
        <w:t xml:space="preserve"> </w:t>
      </w:r>
      <w:r>
        <w:rPr>
          <w:u w:val="single"/>
        </w:rPr>
        <w:t xml:space="preserve"> </w:t>
      </w:r>
      <w:r>
        <w:rPr>
          <w:u w:val="single"/>
        </w:rPr>
        <w:t xml:space="preserve">COUNTY APPROVAL FOR CERTAIN DISTRICTS.  (a) </w:t>
      </w:r>
      <w:r>
        <w:rPr>
          <w:u w:val="single"/>
        </w:rPr>
        <w:t xml:space="preserve"> </w:t>
      </w:r>
      <w:r>
        <w:rPr>
          <w:u w:val="single"/>
        </w:rPr>
        <w:t xml:space="preserve">This section applies only to a district that is located in a county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population of 100,000 or more;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total area that is less than 250 square miles.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district must obtain the written approval of the commissioners court of the county in which the district is located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issuing bonds for a district improvement project;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finalizing the plans and specifications for a district improvement project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financed by bonds;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related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use of land outside the corporate limits of a municipality;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easement granted by the county;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right-of-way of a road or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49.240, Water Code, as added by this Act, applies only to a district, as defined by Section 49.001, Water Code, that issues bonds or finalizes plans and specifications for an improvement project on or after the effective date of this Act. </w:t>
      </w:r>
      <w:r>
        <w:t xml:space="preserve"> </w:t>
      </w:r>
      <w:r>
        <w:t xml:space="preserve">A district that issues bonds or finalizes plans and specifications for an improvement project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