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88R9860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 Neave Criado,</w:t>
      </w:r>
      <w:r xml:space="preserve">
        <w:tab wTab="150" tlc="none" cTlc="0"/>
      </w:r>
      <w:r>
        <w:t xml:space="preserve">H.B.</w:t>
      </w:r>
      <w:r xml:space="preserve">
        <w:t> </w:t>
      </w:r>
      <w:r>
        <w:t xml:space="preserve">No.</w:t>
      </w:r>
      <w:r xml:space="preserve">
        <w:t> </w:t>
      </w:r>
      <w:r>
        <w:t xml:space="preserve">1918</w:t>
      </w:r>
    </w:p>
    <w:p w:rsidR="003F3435" w:rsidRDefault="0032493E">
      <w:pPr>
        <w:jc w:val="both"/>
      </w:pPr>
      <w:r xml:space="preserve">
        <w:t> </w:t>
      </w:r>
      <w:r xml:space="preserve">
        <w:t> </w:t>
      </w:r>
      <w:r xml:space="preserve">
        <w:t> </w:t>
      </w:r>
      <w:r xml:space="preserve">
        <w:t> </w:t>
      </w:r>
      <w:r xml:space="preserve">
        <w:t> </w:t>
      </w:r>
      <w:r>
        <w:t xml:space="preserve">Jones of Harris, Orr, Rosenthal,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publication by the attorney general of a contingent fee contract for legal services for political subdivisions and related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2254.1038(b),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Within 90 days after receiving a contract from a political subdivision, the attorney general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publish the contract and the information filed under Subsection (a) related to the contract on the attorney general's Internet website; and</w:t>
      </w:r>
    </w:p>
    <w:p w:rsidR="003F3435" w:rsidRDefault="0032493E">
      <w:pPr>
        <w:spacing w:line="480" w:lineRule="auto"/>
        <w:ind w:firstLine="1440"/>
        <w:jc w:val="both"/>
      </w:pPr>
      <w:r>
        <w:rPr>
          <w:u w:val="single"/>
        </w:rPr>
        <w:t xml:space="preserve">(2)</w:t>
      </w:r>
      <w:r xml:space="preserve">
        <w:t> </w:t>
      </w:r>
      <w:r xml:space="preserve">
        <w:t> </w:t>
      </w:r>
      <w:r>
        <w:t xml:space="preserve">may: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approve the contract;</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refuse to approve the contract because the requirements of this subchapter were not fulfilled;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refuse to approve the contract because: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legal matter that is the subject of the contract presents one or more questions of law or fact that are in common with a matter the state has already addressed or is pursuing; and</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pursuit of the matter by the political subdivision will not promote the just and efficient resolution of the matter.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2254.1038(b), Government Code, as amended by this Act, applies only to a contract filed on or after the effective date of this Act. </w:t>
      </w:r>
      <w:r>
        <w:t xml:space="preserve"> </w:t>
      </w:r>
      <w:r>
        <w:t xml:space="preserve">A contract filed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