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88R9860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1918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publication by the attorney general of a contingent fee contract for legal services for political subdivisions and related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2254.1038(b),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Within 90 days after receiving a contract from a political subdivision, the attorney general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publish the contract and the information filed under Subsection (a) related to the contract on the attorney general's Internet website; and</w:t>
      </w:r>
    </w:p>
    <w:p w:rsidR="003F3435" w:rsidRDefault="0032493E">
      <w:pPr>
        <w:spacing w:line="480" w:lineRule="auto"/>
        <w:ind w:firstLine="1440"/>
        <w:jc w:val="both"/>
      </w:pPr>
      <w:r>
        <w:rPr>
          <w:u w:val="single"/>
        </w:rPr>
        <w:t xml:space="preserve">(2)</w:t>
      </w:r>
      <w:r xml:space="preserve">
        <w:t> </w:t>
      </w:r>
      <w:r xml:space="preserve">
        <w:t> </w:t>
      </w:r>
      <w:r>
        <w:t xml:space="preserve">may: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approve the contract;</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refuse to approve the contract because the requirements of this subchapter were not fulfilled; or</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refuse to approve the contract because: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legal matter that is the subject of the contract presents one or more questions of law or fact that are in common with a matter the state has already addressed or is pursuing; and</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pursuit of the matter by the political subdivision will not promote the just and efficient resolution of the matter.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2254.1038(b), Government Code, as amended by this Act, applies only to a contract filed on or after the effective date of this Act. </w:t>
      </w:r>
      <w:r>
        <w:t xml:space="preserve"> </w:t>
      </w:r>
      <w:r>
        <w:t xml:space="preserve">A contract filed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