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1923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videoconferencing with a child by the child's possessory conservator.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153.015,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period of electronic communication awarded under this section is in addition to and may not be a substitute for the  periods of videoconferencing to which a possessory conservator may be entitled under Section 153.016.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153, Family Code, is amended by adding Section 153.016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153.016.</w:t>
      </w:r>
      <w:r>
        <w:rPr>
          <w:u w:val="single"/>
        </w:rPr>
        <w:t xml:space="preserve"> </w:t>
      </w:r>
      <w:r>
        <w:rPr>
          <w:u w:val="single"/>
        </w:rPr>
        <w:t xml:space="preserve"> </w:t>
      </w:r>
      <w:r>
        <w:rPr>
          <w:u w:val="single"/>
        </w:rPr>
        <w:t xml:space="preserve">VIDEOCONFERENCING WITH CHILD BY POSSESSORY CONSERVATOR.  (a) Unless otherwise specified by an agreement between conservators and except as provided by Subsection (e), the court shall award the parent appointed as the child's possessory conservator under a standard possession order two periods of videoconferencing with the child each week on days other than Saturday or Sunday to supplement the possessory conservator's periods of possession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specified by an agreement between conservators or as provided by Subsection (e), each period of videoconferencing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15 minutes and not more than 60 minutes in length;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place each Tuesday and Wednesday between 3:30 p.m. and 9:00 p.m.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facilitate videoconferencing with a child under this section, each conservator of the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other conservator with the e-mail address and other electronic communication access information of the child, including any information specific to the method of videoconferencing available to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other conservator of any change in the e-mail address or other electronic communication access information not later than 24 hours after the date the change takes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necessary equipment and sufficient Internet access are reasonably available, accommodate videoconferencing with the child, with the same privacy, respect, and dignity accorded all other forms of access, at a reasonable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not consider the availability of videoconferencing as a factor in determining child support.</w:t>
      </w:r>
      <w:r>
        <w:rPr>
          <w:u w:val="single"/>
        </w:rPr>
        <w:t xml:space="preserve"> </w:t>
      </w:r>
      <w:r>
        <w:rPr>
          <w:u w:val="single"/>
        </w:rPr>
        <w:t xml:space="preserve"> </w:t>
      </w:r>
      <w:r>
        <w:rPr>
          <w:u w:val="single"/>
        </w:rPr>
        <w:t xml:space="preserve">The availability of videoconferencing under this section is not intended as a substitute for physical possession of or access to the child where otherwise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suit in which the court's order contains provisions related to a finding of family violence in the suit, including supervised visitation, the court may restrict or deny periods of videoconferencing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