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88R8038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1940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admissibility of evidence of certain extraneous offenses or acts in the prosecution of sexual assault or aggravated sexual assault or an attempt or conspiracy to commit sexual assault or aggravated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38.37,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w:t>
      </w:r>
      <w:r xml:space="preserve">
        <w:t> </w:t>
      </w:r>
      <w:r xml:space="preserve">
        <w:t>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if committed against a child under 17 years of age:</w:t>
      </w:r>
    </w:p>
    <w:p w:rsidR="003F3435" w:rsidRDefault="0032493E">
      <w:pPr>
        <w:spacing w:line="480" w:lineRule="auto"/>
        <w:ind w:firstLine="2160"/>
        <w:jc w:val="both"/>
      </w:pPr>
      <w:r>
        <w:t xml:space="preserve">(A)</w:t>
      </w:r>
      <w:r xml:space="preserve">
        <w:t> </w:t>
      </w:r>
      <w:r xml:space="preserve">
        <w:t> </w:t>
      </w:r>
      <w:r>
        <w:t xml:space="preserve">Chapter 21 (Sexual Offenses);</w:t>
      </w:r>
    </w:p>
    <w:p w:rsidR="003F3435" w:rsidRDefault="0032493E">
      <w:pPr>
        <w:spacing w:line="480" w:lineRule="auto"/>
        <w:ind w:firstLine="2160"/>
        <w:jc w:val="both"/>
      </w:pPr>
      <w:r>
        <w:t xml:space="preserve">(B)</w:t>
      </w:r>
      <w:r xml:space="preserve">
        <w:t> </w:t>
      </w:r>
      <w:r xml:space="preserve">
        <w:t> </w:t>
      </w:r>
      <w:r>
        <w:t xml:space="preserve">Chapter 22 (Assaultive Offenses)</w:t>
      </w:r>
      <w:r>
        <w:rPr>
          <w:u w:val="single"/>
        </w:rPr>
        <w:t xml:space="preserve">, subject to Subdivision (3)</w:t>
      </w:r>
      <w:r>
        <w:t xml:space="preserve">; or</w:t>
      </w:r>
    </w:p>
    <w:p w:rsidR="003F3435" w:rsidRDefault="0032493E">
      <w:pPr>
        <w:spacing w:line="480" w:lineRule="auto"/>
        <w:ind w:firstLine="2160"/>
        <w:jc w:val="both"/>
      </w:pPr>
      <w:r>
        <w:t xml:space="preserve">(C)</w:t>
      </w:r>
      <w:r xml:space="preserve">
        <w:t> </w:t>
      </w:r>
      <w:r xml:space="preserve">
        <w:t> </w:t>
      </w:r>
      <w:r>
        <w:t xml:space="preserve">Section 25.02 (Prohibited Sexual Conduct);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if committed against a person younger than 18 years of age:</w:t>
      </w:r>
    </w:p>
    <w:p w:rsidR="003F3435" w:rsidRDefault="0032493E">
      <w:pPr>
        <w:spacing w:line="480" w:lineRule="auto"/>
        <w:ind w:firstLine="2160"/>
        <w:jc w:val="both"/>
      </w:pPr>
      <w:r>
        <w:t xml:space="preserve">(A)</w:t>
      </w:r>
      <w:r xml:space="preserve">
        <w:t> </w:t>
      </w:r>
      <w:r xml:space="preserve">
        <w:t> </w:t>
      </w:r>
      <w:r>
        <w:t xml:space="preserve">Section 43.25 (Sexual Performance by a Child);</w:t>
      </w:r>
    </w:p>
    <w:p w:rsidR="003F3435" w:rsidRDefault="0032493E">
      <w:pPr>
        <w:spacing w:line="480" w:lineRule="auto"/>
        <w:ind w:firstLine="2160"/>
        <w:jc w:val="both"/>
      </w:pPr>
      <w:r>
        <w:t xml:space="preserve">(B)</w:t>
      </w:r>
      <w:r xml:space="preserve">
        <w:t> </w:t>
      </w:r>
      <w:r xml:space="preserve">
        <w:t> </w:t>
      </w:r>
      <w:r>
        <w:t xml:space="preserve">Section 20A.02(a)(7) or (8); or</w:t>
      </w:r>
    </w:p>
    <w:p w:rsidR="003F3435" w:rsidRDefault="0032493E">
      <w:pPr>
        <w:spacing w:line="480" w:lineRule="auto"/>
        <w:ind w:firstLine="2160"/>
        <w:jc w:val="both"/>
      </w:pPr>
      <w:r>
        <w:t xml:space="preserve">(C)</w:t>
      </w:r>
      <w:r xml:space="preserve">
        <w:t> </w:t>
      </w:r>
      <w:r xml:space="preserve">
        <w:t> </w:t>
      </w:r>
      <w:r>
        <w:t xml:space="preserve">Section 43.05(a)(2) (Compelling Prostitution)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committed against a person of any 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22.011 (Sexual Assault);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22.021 (Aggravated Sexual Assault)</w:t>
      </w:r>
      <w:r>
        <w:t xml:space="preserve">.</w:t>
      </w:r>
    </w:p>
    <w:p w:rsidR="003F3435" w:rsidRDefault="0032493E">
      <w:pPr>
        <w:spacing w:line="480" w:lineRule="auto"/>
        <w:ind w:firstLine="720"/>
        <w:jc w:val="both"/>
      </w:pPr>
      <w:r>
        <w:t xml:space="preserve">(b)</w:t>
      </w:r>
      <w:r xml:space="preserve">
        <w:t> </w:t>
      </w:r>
      <w:r xml:space="preserve">
        <w:t> </w:t>
      </w:r>
      <w:r>
        <w:t xml:space="preserve">Notwithstanding Rules 404 and 405, Texas Rules of Evidence, evidence of other crimes, wrongs, or acts committed by the defendant against the [</w:t>
      </w:r>
      <w:r>
        <w:rPr>
          <w:strike/>
        </w:rPr>
        <w:t xml:space="preserve">child who is the</w:t>
      </w:r>
      <w:r>
        <w:t xml:space="preserve">] victim of the alleged offense shall be admitted for its bearing on relevant matters, including:</w:t>
      </w:r>
    </w:p>
    <w:p w:rsidR="003F3435" w:rsidRDefault="0032493E">
      <w:pPr>
        <w:spacing w:line="480" w:lineRule="auto"/>
        <w:ind w:firstLine="1440"/>
        <w:jc w:val="both"/>
      </w:pPr>
      <w:r>
        <w:t xml:space="preserve">(1)</w:t>
      </w:r>
      <w:r xml:space="preserve">
        <w:t> </w:t>
      </w:r>
      <w:r xml:space="preserve">
        <w:t> </w:t>
      </w:r>
      <w:r>
        <w:t xml:space="preserve">the state of mind of the defendant and the </w:t>
      </w:r>
      <w:r>
        <w:rPr>
          <w:u w:val="single"/>
        </w:rPr>
        <w:t xml:space="preserve">victim</w:t>
      </w:r>
      <w:r>
        <w:t xml:space="preserve"> [</w:t>
      </w:r>
      <w:r>
        <w:rPr>
          <w:strike/>
        </w:rPr>
        <w:t xml:space="preserve">child</w:t>
      </w:r>
      <w:r>
        <w:t xml:space="preserve">]; and</w:t>
      </w:r>
    </w:p>
    <w:p w:rsidR="003F3435" w:rsidRDefault="0032493E">
      <w:pPr>
        <w:spacing w:line="480" w:lineRule="auto"/>
        <w:ind w:firstLine="1440"/>
        <w:jc w:val="both"/>
      </w:pPr>
      <w:r>
        <w:t xml:space="preserve">(2)</w:t>
      </w:r>
      <w:r xml:space="preserve">
        <w:t> </w:t>
      </w:r>
      <w:r xml:space="preserve">
        <w:t> </w:t>
      </w:r>
      <w:r>
        <w:t xml:space="preserve">the previous and subsequent relationship between the defendant and the </w:t>
      </w:r>
      <w:r>
        <w:rPr>
          <w:u w:val="single"/>
        </w:rPr>
        <w:t xml:space="preserve">victim</w:t>
      </w:r>
      <w:r>
        <w:t xml:space="preserve"> [</w:t>
      </w:r>
      <w:r>
        <w:rPr>
          <w:strike/>
        </w:rPr>
        <w:t xml:space="preserve">child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20A.02, if punishable as a felony of the first degree under Section 20A.02(b)(1) (Sex Trafficking of a Child);</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w:t>
      </w:r>
      <w:r>
        <w:rPr>
          <w:u w:val="single"/>
        </w:rPr>
        <w:t xml:space="preserve">22.011</w:t>
      </w:r>
      <w:r>
        <w:t xml:space="preserve"> [</w:t>
      </w:r>
      <w:r>
        <w:rPr>
          <w:strike/>
        </w:rPr>
        <w:t xml:space="preserve">22.011(a)(2)</w:t>
      </w:r>
      <w:r>
        <w:t xml:space="preserve">] (Sexual Assault [</w:t>
      </w:r>
      <w:r>
        <w:rPr>
          <w:strike/>
        </w:rPr>
        <w:t xml:space="preserve">of a Child</w:t>
      </w:r>
      <w:r>
        <w:t xml:space="preserve">]);</w:t>
      </w:r>
    </w:p>
    <w:p w:rsidR="003F3435" w:rsidRDefault="0032493E">
      <w:pPr>
        <w:spacing w:line="480" w:lineRule="auto"/>
        <w:ind w:firstLine="2160"/>
        <w:jc w:val="both"/>
      </w:pPr>
      <w:r>
        <w:t xml:space="preserve">(E)</w:t>
      </w:r>
      <w:r xml:space="preserve">
        <w:t> </w:t>
      </w:r>
      <w:r xml:space="preserve">
        <w:t> </w:t>
      </w:r>
      <w:r>
        <w:rPr>
          <w:u w:val="single"/>
        </w:rPr>
        <w:t xml:space="preserve">Section 22.021</w:t>
      </w:r>
      <w:r>
        <w:t xml:space="preserve"> [</w:t>
      </w:r>
      <w:r>
        <w:rPr>
          <w:strike/>
        </w:rPr>
        <w:t xml:space="preserve">Sections 22.021(a)(1)(B) and (2)</w:t>
      </w:r>
      <w:r>
        <w:t xml:space="preserve">] (Aggravated Sexual Assault [</w:t>
      </w:r>
      <w:r>
        <w:rPr>
          <w:strike/>
        </w:rPr>
        <w:t xml:space="preserve">of a Child</w:t>
      </w:r>
      <w:r>
        <w:t xml:space="preserve">]);</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the admissibility of evidence in a criminal proceeding that commences on or after the effective date of this Act. </w:t>
      </w:r>
      <w:r>
        <w:t xml:space="preserve"> </w:t>
      </w:r>
      <w:r>
        <w:t xml:space="preserve">The admissibility of evidence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