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88R6354 JES-D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Rosenthal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1945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access to certain Internet websites in public schools.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A, Chapter 38, Education Code, is amended by adding Section 38.042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38.042.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RESTRICTING ACCESS TO CERTAIN WEBSITES PROHIBITED.  A school district or open-enrollment charter school may not restrict access to an Internet website, including by using filtering software, that provides resources for students related to: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mental health or suicide prevention for individuals who are lesbian, gay, bisexual, transgender, queer, or questioning;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human trafficking;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interpersonal or domestic violence;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sexual assault.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applies beginning with the 2023-2024 school year.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1945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