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 novo review and interpretation of state laws and state agency rules by reviewing court judges and administrative law judges.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Chapter 21, Government Code, is amended by adding Section 21.013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 NOVO REVIEW OF STATE LAW PROVISION BY REVIEWING COURT JUDGE; INTERPRETATION OF AMBIGUOUS STATE LAW PROVISION.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"provision of state law"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statute;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rule a state agency adopts;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opinion letter, manual, or other guidance document a state agency issues interpreting the meaning, scope, or effect of a state statute or state agency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interpreting a provision of state law, a reviewing court judge shall interpret the meaning and effect of the provision de novo, without deference to a state agency's interpretation of the provision.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by or against a state agency concerning an ambiguous provision of state law, after applying all other rules and canons of interpretation, a reviewing court judge shall resolve the ambiguity in favor of limiting state agency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2003, Government Code, is amended by adding Section 2003.026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2003.026.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 NOVO REVIEW OF STATE LAW PROVISION IN ADMINISTRATIVE HEARING; INTERPRETATION OF AMBIGUOUS STATE LAW PROVISION.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"provision of state law"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statute;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rule a state agency adopts;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opinion letter, manual, or other guidance document a state agency issues interpreting the meaning, scope, or effect of a state statute or state agency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</w:t>
      </w:r>
      <w:r>
        <w:rPr>
          <w:u w:val="single"/>
        </w:rPr>
        <w:t xml:space="preserve">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administrative law judge who conducts a hearing that requires the judge to interpret a provision of state law shall interpret the meaning and effect of the provision de novo, without deference to a state agency's interpretation of the provision.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administrative law judge who conducts a hearing brought by or against a state agency concerning an ambiguous provision of state law, after applying all other rules and canons of interpretation, shall resolve the ambiguity in favor of limiting state agency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