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88R7425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1957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availability of financial information of nonprofit corporations for public inspection.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22.353, Business Organizations Code, is amended to read as follows:</w:t>
      </w:r>
    </w:p>
    <w:p w:rsidR="003F3435" w:rsidRDefault="0032493E">
      <w:pPr>
        <w:spacing w:line="480" w:lineRule="auto"/>
        <w:ind w:firstLine="720"/>
        <w:jc w:val="both"/>
      </w:pPr>
      <w:r>
        <w:t xml:space="preserve">Sec.</w:t>
      </w:r>
      <w:r xml:space="preserve">
        <w:t> </w:t>
      </w:r>
      <w:r>
        <w:t xml:space="preserve">22.353.</w:t>
      </w:r>
      <w:r xml:space="preserve">
        <w:t> </w:t>
      </w:r>
      <w:r xml:space="preserve">
        <w:t> </w:t>
      </w:r>
      <w:r>
        <w:t xml:space="preserve">AVAILABILITY OF FINANCIAL INFORMATION FOR PUBLIC INSPECTION.  (a)  A corporation shall keep records, books, and annual reports of the corporation's financial activity </w:t>
      </w:r>
      <w:r>
        <w:rPr>
          <w:u w:val="single"/>
        </w:rPr>
        <w:t xml:space="preserve">and audited financial statements described by Subsection (c)</w:t>
      </w:r>
      <w:r>
        <w:t xml:space="preserve"> </w:t>
      </w:r>
      <w:r>
        <w:t xml:space="preserve">at the corporation's registered or principal office in this state for at least three years after the close of the fiscal year.</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(c), the</w:t>
      </w:r>
      <w:r>
        <w:t xml:space="preserve"> [</w:t>
      </w:r>
      <w:r>
        <w:rPr>
          <w:strike/>
        </w:rPr>
        <w:t xml:space="preserve">The</w:t>
      </w:r>
      <w:r>
        <w:t xml:space="preserve">] corporation shall make the records, books, and reports available to the public for inspection and copying at the corporation's registered or principal office during regular business hours.  The corporation may charge a reasonable fee for preparing a copy of a record or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corporation is exempt from Subsection (b)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independent certified public accountant has conducted an audit of the corporation's financial statements for the preceding fiscal year in accordance with generally accepted auditing standards;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(d), the corporation makes its audited financial statements and the annual reports of the corporation's financial activity kept under Subsection (a) available to the public for inspection and copying at the corporation's registered or principal office during regular business hours.  The corporation may charge a reasonable fee for preparing a copy of a statement or report.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corporation shall make an audited financial statement described by Subsection (c)(1) available to the public for inspection and copying not later than the 180th day after the close of the fiscal year to which the audit relates.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