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King)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13,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transfer of certain public school students who are children of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25, Education Code, is amended by adding Section 25.0344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25.0344.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TRANSFER OF STUDENTS WHO ARE CHILDREN OF PEACE OFFICERS.  (a)  In this section, "peace officer" has the meaning assigned by Section 1701.001, Occupations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request of a peace officer who is a parent of or person standing in parental relation to a student, the board of trustees of a school district or the board's designee shall transfer the student to another district campus or to another school district under an agreement under Section 25.035.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transfer under this section must be to the campus or school district, as applicable, selected by the peace officer making the request.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is not required to provide transportation to a student who transfers to another campus or school district under this section.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