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motor vehicle accident report to an employee or authorized representative of a vehicle storage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accident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accident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accident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accident;</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accident;</w:t>
      </w:r>
    </w:p>
    <w:p w:rsidR="003F3435" w:rsidRDefault="0032493E">
      <w:pPr>
        <w:spacing w:line="480" w:lineRule="auto"/>
        <w:ind w:firstLine="2160"/>
        <w:jc w:val="both"/>
      </w:pPr>
      <w:r>
        <w:t xml:space="preserve">(C)</w:t>
      </w:r>
      <w:r xml:space="preserve">
        <w:t> </w:t>
      </w:r>
      <w:r xml:space="preserve">
        <w:t> </w:t>
      </w:r>
      <w:r>
        <w:t xml:space="preserve">a driver involved in the accident;</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accident;</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accident;</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accident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accident;</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accident;</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accident</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 employee or authorized representative of a vehicle storage facility, as defined by Section 2303.002, Occupations Code, that stored a vehicle involved in the accident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1964 was passed by the House on April 4, 2023, by the following vote:</w:t>
      </w:r>
      <w:r xml:space="preserve">
        <w:t> </w:t>
      </w:r>
      <w:r xml:space="preserve">
        <w:t> </w:t>
      </w:r>
      <w:r>
        <w:t xml:space="preserve">Yeas 141,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1964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