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Shaw</w:t>
      </w:r>
      <w:r xml:space="preserve">
        <w:tab wTab="150" tlc="none" cTlc="0"/>
      </w:r>
      <w:r>
        <w:t xml:space="preserve">H.B.</w:t>
      </w:r>
      <w:r xml:space="preserve">
        <w:t> </w:t>
      </w:r>
      <w:r>
        <w:t xml:space="preserve">No.</w:t>
      </w:r>
      <w:r xml:space="preserve">
        <w:t> </w:t>
      </w:r>
      <w:r>
        <w:t xml:space="preserve">1969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on-site identification requirements for certain contractors and subcontractors of the Texas Department of Transportation.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201, Transportation Code, is amended by adding Section 201.625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201.625.</w:t>
      </w:r>
      <w:r>
        <w:rPr>
          <w:u w:val="single"/>
        </w:rPr>
        <w:t xml:space="preserve"> </w:t>
      </w:r>
      <w:r>
        <w:rPr>
          <w:u w:val="single"/>
        </w:rPr>
        <w:t xml:space="preserve"> </w:t>
      </w:r>
      <w:r>
        <w:rPr>
          <w:u w:val="single"/>
        </w:rPr>
        <w:t xml:space="preserve">ON-SITE IDENTIFICATION REQUIREMENTS FOR CERTAIN DEPARTMENT CONTRACTORS AND SUBCONTRACTORS. </w:t>
      </w:r>
      <w:r>
        <w:rPr>
          <w:u w:val="single"/>
        </w:rPr>
        <w:t xml:space="preserve"> </w:t>
      </w:r>
      <w:r>
        <w:rPr>
          <w:u w:val="single"/>
        </w:rPr>
        <w:t xml:space="preserve">(a) </w:t>
      </w:r>
      <w:r>
        <w:rPr>
          <w:u w:val="single"/>
        </w:rPr>
        <w:t xml:space="preserve"> </w:t>
      </w:r>
      <w:r>
        <w:rPr>
          <w:u w:val="single"/>
        </w:rPr>
        <w:t xml:space="preserve">The commission shall adopt rules establishing identification  requirements for department contractors and subcontractors while working at the site of a construction, maintenance, or improvement project of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Subsection (a) must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employee of the contractor or subcontractor while working at the site of the project to wear an identification badge, in the form and manner prescribed by the commission, that clearly identifies the employee as a department contractor or subcontractor;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vehicle of the contractor or subcontractor while the vehicle is at the site of the project to display on each side of the vehicle, in the form and manner prescribed by the commission, insignia or other markings identifying the vehicle as a vehicle of a department contractor or subcontractor.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2023, the Texas Transportation Commission shall adopt the rules required by Section 201.625, Transportation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